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B7632" w14:textId="6227E313" w:rsidR="00CD227B" w:rsidRPr="00CD227B" w:rsidRDefault="00CD227B" w:rsidP="00CD227B">
      <w:pPr>
        <w:rPr>
          <w:rFonts w:ascii="Helvetica" w:eastAsia="Times New Roman" w:hAnsi="Helvetica" w:cs="Helvetica"/>
          <w:b/>
          <w:bCs/>
          <w:color w:val="333333"/>
          <w:kern w:val="0"/>
          <w:sz w:val="27"/>
          <w:szCs w:val="27"/>
          <w:lang w:val="en-US"/>
          <w14:ligatures w14:val="none"/>
        </w:rPr>
      </w:pPr>
      <w:r w:rsidRPr="00CD227B">
        <w:rPr>
          <w:rFonts w:ascii="Helvetica" w:eastAsia="Times New Roman" w:hAnsi="Helvetica" w:cs="Helvetica"/>
          <w:b/>
          <w:bCs/>
          <w:color w:val="333333"/>
          <w:kern w:val="0"/>
          <w:sz w:val="27"/>
          <w:szCs w:val="27"/>
          <w:lang w:val="en-US"/>
          <w14:ligatures w14:val="none"/>
        </w:rPr>
        <w:t xml:space="preserve">Allocation Rules of the Umhyggja Support Fund </w:t>
      </w:r>
    </w:p>
    <w:p w14:paraId="4C1FCADB" w14:textId="77777777" w:rsidR="00CD227B" w:rsidRPr="00CD227B" w:rsidRDefault="00CD227B" w:rsidP="00CD227B">
      <w:pPr>
        <w:rPr>
          <w:rFonts w:ascii="Helvetica" w:eastAsia="Times New Roman" w:hAnsi="Helvetica" w:cs="Helvetica"/>
          <w:color w:val="333333"/>
          <w:kern w:val="0"/>
          <w:sz w:val="27"/>
          <w:szCs w:val="27"/>
          <w:lang w:val="en-US"/>
          <w14:ligatures w14:val="none"/>
        </w:rPr>
      </w:pPr>
      <w:r w:rsidRPr="00CD227B">
        <w:rPr>
          <w:rFonts w:ascii="Helvetica" w:eastAsia="Times New Roman" w:hAnsi="Helvetica" w:cs="Helvetica"/>
          <w:color w:val="333333"/>
          <w:kern w:val="0"/>
          <w:sz w:val="27"/>
          <w:szCs w:val="27"/>
          <w:lang w:val="en-US"/>
          <w14:ligatures w14:val="none"/>
        </w:rPr>
        <w:t>The purpose of the Umhyggja Support Fund is to assist families of chronically ill children through financial grants when financial hardship can be demonstrably linked to the child’s illness.</w:t>
      </w:r>
    </w:p>
    <w:p w14:paraId="7AB61842" w14:textId="77777777" w:rsidR="00CD227B" w:rsidRPr="00CD227B" w:rsidRDefault="00CD227B" w:rsidP="00CD227B">
      <w:pPr>
        <w:rPr>
          <w:rFonts w:ascii="Helvetica" w:eastAsia="Times New Roman" w:hAnsi="Helvetica" w:cs="Helvetica"/>
          <w:color w:val="333333"/>
          <w:kern w:val="0"/>
          <w:sz w:val="27"/>
          <w:szCs w:val="27"/>
          <w:lang w:val="en-US"/>
          <w14:ligatures w14:val="none"/>
        </w:rPr>
      </w:pPr>
      <w:r w:rsidRPr="00CD227B">
        <w:rPr>
          <w:rFonts w:ascii="Helvetica" w:eastAsia="Times New Roman" w:hAnsi="Helvetica" w:cs="Helvetica"/>
          <w:color w:val="333333"/>
          <w:kern w:val="0"/>
          <w:sz w:val="27"/>
          <w:szCs w:val="27"/>
          <w:lang w:val="en-US"/>
          <w14:ligatures w14:val="none"/>
        </w:rPr>
        <w:t>It is also permissible to provide funeral grants in the event of the death of a chronically ill child.</w:t>
      </w:r>
    </w:p>
    <w:p w14:paraId="36CDA0FA" w14:textId="77777777" w:rsidR="00CD227B" w:rsidRPr="00CD227B" w:rsidRDefault="00CD227B" w:rsidP="00CD227B">
      <w:pPr>
        <w:rPr>
          <w:rFonts w:ascii="Helvetica" w:eastAsia="Times New Roman" w:hAnsi="Helvetica" w:cs="Helvetica"/>
          <w:color w:val="333333"/>
          <w:kern w:val="0"/>
          <w:sz w:val="27"/>
          <w:szCs w:val="27"/>
          <w:lang w:val="en-US"/>
          <w14:ligatures w14:val="none"/>
        </w:rPr>
      </w:pPr>
      <w:r w:rsidRPr="00CD227B">
        <w:rPr>
          <w:rFonts w:ascii="Helvetica" w:eastAsia="Times New Roman" w:hAnsi="Helvetica" w:cs="Helvetica"/>
          <w:color w:val="333333"/>
          <w:kern w:val="0"/>
          <w:sz w:val="27"/>
          <w:szCs w:val="27"/>
          <w:lang w:val="en-US"/>
          <w14:ligatures w14:val="none"/>
        </w:rPr>
        <w:t>Families who do not have access to other support funds operated by parents’ associations for chronically ill children shall be given priority when allocating grants from this fund.</w:t>
      </w:r>
    </w:p>
    <w:p w14:paraId="2167ED6A" w14:textId="6D4E2965" w:rsidR="00CD227B" w:rsidRPr="00CD227B" w:rsidRDefault="00CD227B" w:rsidP="00CD227B">
      <w:pPr>
        <w:rPr>
          <w:rFonts w:ascii="Helvetica" w:eastAsia="Times New Roman" w:hAnsi="Helvetica" w:cs="Helvetica"/>
          <w:color w:val="333333"/>
          <w:kern w:val="0"/>
          <w:sz w:val="27"/>
          <w:szCs w:val="27"/>
          <w:lang w:val="en-US"/>
          <w14:ligatures w14:val="none"/>
        </w:rPr>
      </w:pPr>
      <w:r w:rsidRPr="00CD227B">
        <w:rPr>
          <w:rFonts w:ascii="Helvetica" w:eastAsia="Times New Roman" w:hAnsi="Helvetica" w:cs="Helvetica"/>
          <w:color w:val="333333"/>
          <w:kern w:val="0"/>
          <w:sz w:val="27"/>
          <w:szCs w:val="27"/>
          <w:lang w:val="en-US"/>
          <w14:ligatures w14:val="none"/>
        </w:rPr>
        <w:t xml:space="preserve">Families may generally apply for a grant </w:t>
      </w:r>
      <w:r w:rsidRPr="00CD227B">
        <w:rPr>
          <w:rFonts w:ascii="Helvetica" w:eastAsia="Times New Roman" w:hAnsi="Helvetica" w:cs="Helvetica"/>
          <w:b/>
          <w:bCs/>
          <w:color w:val="333333"/>
          <w:kern w:val="0"/>
          <w:sz w:val="27"/>
          <w:szCs w:val="27"/>
          <w:lang w:val="en-US"/>
          <w14:ligatures w14:val="none"/>
        </w:rPr>
        <w:t>twice before the child reaches the age of 18</w:t>
      </w:r>
      <w:r w:rsidRPr="00CD227B">
        <w:rPr>
          <w:rFonts w:ascii="Helvetica" w:eastAsia="Times New Roman" w:hAnsi="Helvetica" w:cs="Helvetica"/>
          <w:color w:val="333333"/>
          <w:kern w:val="0"/>
          <w:sz w:val="27"/>
          <w:szCs w:val="27"/>
          <w:lang w:val="en-US"/>
          <w14:ligatures w14:val="none"/>
        </w:rPr>
        <w:t xml:space="preserve">. A minimum of </w:t>
      </w:r>
      <w:r w:rsidRPr="00CD227B">
        <w:rPr>
          <w:rFonts w:ascii="Helvetica" w:eastAsia="Times New Roman" w:hAnsi="Helvetica" w:cs="Helvetica"/>
          <w:b/>
          <w:bCs/>
          <w:color w:val="333333"/>
          <w:kern w:val="0"/>
          <w:sz w:val="27"/>
          <w:szCs w:val="27"/>
          <w:lang w:val="en-US"/>
          <w14:ligatures w14:val="none"/>
        </w:rPr>
        <w:t>12 months</w:t>
      </w:r>
      <w:r w:rsidRPr="00CD227B">
        <w:rPr>
          <w:rFonts w:ascii="Helvetica" w:eastAsia="Times New Roman" w:hAnsi="Helvetica" w:cs="Helvetica"/>
          <w:color w:val="333333"/>
          <w:kern w:val="0"/>
          <w:sz w:val="27"/>
          <w:szCs w:val="27"/>
          <w:lang w:val="en-US"/>
          <w14:ligatures w14:val="none"/>
        </w:rPr>
        <w:t xml:space="preserve"> must elapse between allocations. The processing time is a maximum of six weeks after all required documentation has been received. A </w:t>
      </w:r>
      <w:r w:rsidRPr="00CD227B">
        <w:rPr>
          <w:rFonts w:ascii="Helvetica" w:eastAsia="Times New Roman" w:hAnsi="Helvetica" w:cs="Helvetica"/>
          <w:b/>
          <w:bCs/>
          <w:color w:val="333333"/>
          <w:kern w:val="0"/>
          <w:sz w:val="27"/>
          <w:szCs w:val="27"/>
          <w:lang w:val="en-US"/>
          <w14:ligatures w14:val="none"/>
        </w:rPr>
        <w:t>medical certificate</w:t>
      </w:r>
      <w:r w:rsidRPr="00CD227B">
        <w:rPr>
          <w:rFonts w:ascii="Helvetica" w:eastAsia="Times New Roman" w:hAnsi="Helvetica" w:cs="Helvetica"/>
          <w:color w:val="333333"/>
          <w:kern w:val="0"/>
          <w:sz w:val="27"/>
          <w:szCs w:val="27"/>
          <w:lang w:val="en-US"/>
          <w14:ligatures w14:val="none"/>
        </w:rPr>
        <w:t>, no more than one year old, must accompany the application. The certificate must describe how the child’s illness or disability affects the daily life of the child and the family.</w:t>
      </w:r>
      <w:r>
        <w:rPr>
          <w:rFonts w:ascii="Helvetica" w:eastAsia="Times New Roman" w:hAnsi="Helvetica" w:cs="Helvetica"/>
          <w:color w:val="333333"/>
          <w:kern w:val="0"/>
          <w:sz w:val="27"/>
          <w:szCs w:val="27"/>
          <w:lang w:val="en-US"/>
          <w14:ligatures w14:val="none"/>
        </w:rPr>
        <w:t xml:space="preserve"> </w:t>
      </w:r>
      <w:r w:rsidRPr="00CD227B">
        <w:rPr>
          <w:rFonts w:ascii="Helvetica" w:eastAsia="Times New Roman" w:hAnsi="Helvetica" w:cs="Helvetica"/>
          <w:color w:val="333333"/>
          <w:kern w:val="0"/>
          <w:sz w:val="27"/>
          <w:szCs w:val="27"/>
          <w:lang w:val="en-US"/>
          <w14:ligatures w14:val="none"/>
        </w:rPr>
        <w:t xml:space="preserve">The Support Fund may request </w:t>
      </w:r>
      <w:r w:rsidRPr="00CD227B">
        <w:rPr>
          <w:rFonts w:ascii="Helvetica" w:eastAsia="Times New Roman" w:hAnsi="Helvetica" w:cs="Helvetica"/>
          <w:b/>
          <w:bCs/>
          <w:color w:val="333333"/>
          <w:kern w:val="0"/>
          <w:sz w:val="27"/>
          <w:szCs w:val="27"/>
          <w:lang w:val="en-US"/>
          <w14:ligatures w14:val="none"/>
        </w:rPr>
        <w:t>additional documentation</w:t>
      </w:r>
      <w:r w:rsidRPr="00CD227B">
        <w:rPr>
          <w:rFonts w:ascii="Helvetica" w:eastAsia="Times New Roman" w:hAnsi="Helvetica" w:cs="Helvetica"/>
          <w:color w:val="333333"/>
          <w:kern w:val="0"/>
          <w:sz w:val="27"/>
          <w:szCs w:val="27"/>
          <w:lang w:val="en-US"/>
          <w14:ligatures w14:val="none"/>
        </w:rPr>
        <w:t xml:space="preserve"> to clarify changes in financial circumstances.</w:t>
      </w:r>
      <w:r>
        <w:rPr>
          <w:rFonts w:ascii="Helvetica" w:eastAsia="Times New Roman" w:hAnsi="Helvetica" w:cs="Helvetica"/>
          <w:color w:val="333333"/>
          <w:kern w:val="0"/>
          <w:sz w:val="27"/>
          <w:szCs w:val="27"/>
          <w:lang w:val="en-US"/>
          <w14:ligatures w14:val="none"/>
        </w:rPr>
        <w:t xml:space="preserve"> </w:t>
      </w:r>
      <w:r w:rsidRPr="00CD227B">
        <w:rPr>
          <w:rFonts w:ascii="Helvetica" w:eastAsia="Times New Roman" w:hAnsi="Helvetica" w:cs="Helvetica"/>
          <w:color w:val="333333"/>
          <w:kern w:val="0"/>
          <w:sz w:val="27"/>
          <w:szCs w:val="27"/>
          <w:lang w:val="en-US"/>
          <w14:ligatures w14:val="none"/>
        </w:rPr>
        <w:t xml:space="preserve">If a family has more than one chronically ill child, only </w:t>
      </w:r>
      <w:r w:rsidRPr="00CD227B">
        <w:rPr>
          <w:rFonts w:ascii="Helvetica" w:eastAsia="Times New Roman" w:hAnsi="Helvetica" w:cs="Helvetica"/>
          <w:b/>
          <w:bCs/>
          <w:color w:val="333333"/>
          <w:kern w:val="0"/>
          <w:sz w:val="27"/>
          <w:szCs w:val="27"/>
          <w:lang w:val="en-US"/>
          <w14:ligatures w14:val="none"/>
        </w:rPr>
        <w:t>one grant may be awarded per family within any 12-month period</w:t>
      </w:r>
      <w:r w:rsidRPr="00CD227B">
        <w:rPr>
          <w:rFonts w:ascii="Helvetica" w:eastAsia="Times New Roman" w:hAnsi="Helvetica" w:cs="Helvetica"/>
          <w:color w:val="333333"/>
          <w:kern w:val="0"/>
          <w:sz w:val="27"/>
          <w:szCs w:val="27"/>
          <w:lang w:val="en-US"/>
          <w14:ligatures w14:val="none"/>
        </w:rPr>
        <w:t>.</w:t>
      </w:r>
      <w:r>
        <w:rPr>
          <w:rFonts w:ascii="Helvetica" w:eastAsia="Times New Roman" w:hAnsi="Helvetica" w:cs="Helvetica"/>
          <w:color w:val="333333"/>
          <w:kern w:val="0"/>
          <w:sz w:val="27"/>
          <w:szCs w:val="27"/>
          <w:lang w:val="en-US"/>
          <w14:ligatures w14:val="none"/>
        </w:rPr>
        <w:t xml:space="preserve"> </w:t>
      </w:r>
      <w:r w:rsidRPr="00CD227B">
        <w:rPr>
          <w:rFonts w:ascii="Helvetica" w:eastAsia="Times New Roman" w:hAnsi="Helvetica" w:cs="Helvetica"/>
          <w:color w:val="333333"/>
          <w:kern w:val="0"/>
          <w:sz w:val="27"/>
          <w:szCs w:val="27"/>
          <w:lang w:val="en-US"/>
          <w14:ligatures w14:val="none"/>
        </w:rPr>
        <w:t xml:space="preserve">Please note that reduced income due to parental leave does </w:t>
      </w:r>
      <w:r w:rsidRPr="00CD227B">
        <w:rPr>
          <w:rFonts w:ascii="Helvetica" w:eastAsia="Times New Roman" w:hAnsi="Helvetica" w:cs="Helvetica"/>
          <w:b/>
          <w:bCs/>
          <w:color w:val="333333"/>
          <w:kern w:val="0"/>
          <w:sz w:val="27"/>
          <w:szCs w:val="27"/>
          <w:lang w:val="en-US"/>
          <w14:ligatures w14:val="none"/>
        </w:rPr>
        <w:t xml:space="preserve">not </w:t>
      </w:r>
      <w:r w:rsidRPr="00CD227B">
        <w:rPr>
          <w:rFonts w:ascii="Helvetica" w:eastAsia="Times New Roman" w:hAnsi="Helvetica" w:cs="Helvetica"/>
          <w:color w:val="333333"/>
          <w:kern w:val="0"/>
          <w:sz w:val="27"/>
          <w:szCs w:val="27"/>
          <w:lang w:val="en-US"/>
          <w14:ligatures w14:val="none"/>
        </w:rPr>
        <w:t>meet the criteria for a grant from the Support Fund.</w:t>
      </w:r>
    </w:p>
    <w:p w14:paraId="75CEBEFE" w14:textId="3BE092ED" w:rsidR="00CD227B" w:rsidRPr="00CD227B" w:rsidRDefault="00CD227B" w:rsidP="00CD227B">
      <w:pPr>
        <w:rPr>
          <w:rFonts w:ascii="Helvetica" w:eastAsia="Times New Roman" w:hAnsi="Helvetica" w:cs="Helvetica"/>
          <w:color w:val="333333"/>
          <w:kern w:val="0"/>
          <w:sz w:val="27"/>
          <w:szCs w:val="27"/>
          <w:lang w:val="en-US"/>
          <w14:ligatures w14:val="none"/>
        </w:rPr>
      </w:pPr>
      <w:r w:rsidRPr="00CD227B">
        <w:rPr>
          <w:rFonts w:ascii="Helvetica" w:eastAsia="Times New Roman" w:hAnsi="Helvetica" w:cs="Helvetica"/>
          <w:color w:val="333333"/>
          <w:kern w:val="0"/>
          <w:sz w:val="27"/>
          <w:szCs w:val="27"/>
          <w:lang w:val="en-US"/>
          <w14:ligatures w14:val="none"/>
        </w:rPr>
        <w:t>Grants from the Umhyggja Support Fund are intended for families who are members of Umhyggja or its affiliated associations.</w:t>
      </w:r>
      <w:r>
        <w:rPr>
          <w:rFonts w:ascii="Helvetica" w:eastAsia="Times New Roman" w:hAnsi="Helvetica" w:cs="Helvetica"/>
          <w:color w:val="333333"/>
          <w:kern w:val="0"/>
          <w:sz w:val="27"/>
          <w:szCs w:val="27"/>
          <w:lang w:val="en-US"/>
          <w14:ligatures w14:val="none"/>
        </w:rPr>
        <w:t xml:space="preserve"> </w:t>
      </w:r>
      <w:r w:rsidRPr="00CD227B">
        <w:rPr>
          <w:rFonts w:ascii="Helvetica" w:eastAsia="Times New Roman" w:hAnsi="Helvetica" w:cs="Helvetica"/>
          <w:color w:val="333333"/>
          <w:kern w:val="0"/>
          <w:sz w:val="27"/>
          <w:szCs w:val="27"/>
          <w:lang w:val="en-US"/>
          <w14:ligatures w14:val="none"/>
        </w:rPr>
        <w:t xml:space="preserve">Each application is evaluated on an individual basis, </w:t>
      </w:r>
      <w:proofErr w:type="gramStart"/>
      <w:r w:rsidRPr="00CD227B">
        <w:rPr>
          <w:rFonts w:ascii="Helvetica" w:eastAsia="Times New Roman" w:hAnsi="Helvetica" w:cs="Helvetica"/>
          <w:color w:val="333333"/>
          <w:kern w:val="0"/>
          <w:sz w:val="27"/>
          <w:szCs w:val="27"/>
          <w:lang w:val="en-US"/>
          <w14:ligatures w14:val="none"/>
        </w:rPr>
        <w:t>taking into account</w:t>
      </w:r>
      <w:proofErr w:type="gramEnd"/>
      <w:r w:rsidRPr="00CD227B">
        <w:rPr>
          <w:rFonts w:ascii="Helvetica" w:eastAsia="Times New Roman" w:hAnsi="Helvetica" w:cs="Helvetica"/>
          <w:color w:val="333333"/>
          <w:kern w:val="0"/>
          <w:sz w:val="27"/>
          <w:szCs w:val="27"/>
          <w:lang w:val="en-US"/>
          <w14:ligatures w14:val="none"/>
        </w:rPr>
        <w:t xml:space="preserve"> the submitted medical certificate and other relevant documentation.</w:t>
      </w:r>
    </w:p>
    <w:p w14:paraId="41B3932D" w14:textId="5F4AFE53" w:rsidR="00CD227B" w:rsidRPr="00CD227B" w:rsidRDefault="00CD227B" w:rsidP="00CD227B">
      <w:pPr>
        <w:rPr>
          <w:rFonts w:ascii="Helvetica" w:eastAsia="Times New Roman" w:hAnsi="Helvetica" w:cs="Helvetica"/>
          <w:color w:val="333333"/>
          <w:kern w:val="0"/>
          <w:sz w:val="27"/>
          <w:szCs w:val="27"/>
          <w:lang w:val="en-US"/>
          <w14:ligatures w14:val="none"/>
        </w:rPr>
      </w:pPr>
      <w:r w:rsidRPr="00CD227B">
        <w:rPr>
          <w:rFonts w:ascii="Helvetica" w:eastAsia="Times New Roman" w:hAnsi="Helvetica" w:cs="Helvetica"/>
          <w:color w:val="333333"/>
          <w:kern w:val="0"/>
          <w:sz w:val="27"/>
          <w:szCs w:val="27"/>
          <w:lang w:val="en-US"/>
          <w14:ligatures w14:val="none"/>
        </w:rPr>
        <w:t>It is also permissible to award grants from the fund to projects led by professionals that are carried out for the benefit of chronically ill children and their families.</w:t>
      </w:r>
    </w:p>
    <w:p w14:paraId="21220A81" w14:textId="77777777" w:rsidR="00CD227B" w:rsidRPr="00CD227B" w:rsidRDefault="00CD227B" w:rsidP="00CD227B">
      <w:pPr>
        <w:rPr>
          <w:rFonts w:ascii="Helvetica" w:eastAsia="Times New Roman" w:hAnsi="Helvetica" w:cs="Helvetica"/>
          <w:color w:val="333333"/>
          <w:kern w:val="0"/>
          <w:sz w:val="27"/>
          <w:szCs w:val="27"/>
          <w:lang w:val="en-US"/>
          <w14:ligatures w14:val="none"/>
        </w:rPr>
      </w:pPr>
      <w:r w:rsidRPr="00CD227B">
        <w:rPr>
          <w:rFonts w:ascii="Helvetica" w:eastAsia="Times New Roman" w:hAnsi="Helvetica" w:cs="Helvetica"/>
          <w:color w:val="333333"/>
          <w:kern w:val="0"/>
          <w:sz w:val="27"/>
          <w:szCs w:val="27"/>
          <w:lang w:val="en-US"/>
          <w14:ligatures w14:val="none"/>
        </w:rPr>
        <w:t>Grant Amounts for 2025</w:t>
      </w:r>
    </w:p>
    <w:p w14:paraId="31F9B295" w14:textId="77777777" w:rsidR="00CD227B" w:rsidRPr="00CD227B" w:rsidRDefault="00CD227B" w:rsidP="00CD227B">
      <w:pPr>
        <w:numPr>
          <w:ilvl w:val="0"/>
          <w:numId w:val="1"/>
        </w:numPr>
        <w:rPr>
          <w:rFonts w:ascii="Helvetica" w:eastAsia="Times New Roman" w:hAnsi="Helvetica" w:cs="Helvetica"/>
          <w:color w:val="333333"/>
          <w:kern w:val="0"/>
          <w:sz w:val="27"/>
          <w:szCs w:val="27"/>
          <w:lang w:val="en-US"/>
          <w14:ligatures w14:val="none"/>
        </w:rPr>
      </w:pPr>
      <w:r w:rsidRPr="00CD227B">
        <w:rPr>
          <w:rFonts w:ascii="Helvetica" w:eastAsia="Times New Roman" w:hAnsi="Helvetica" w:cs="Helvetica"/>
          <w:color w:val="333333"/>
          <w:kern w:val="0"/>
          <w:sz w:val="27"/>
          <w:szCs w:val="27"/>
          <w:lang w:val="en-US"/>
          <w14:ligatures w14:val="none"/>
        </w:rPr>
        <w:t>General grant: ISK 1,000,000</w:t>
      </w:r>
    </w:p>
    <w:p w14:paraId="5344CF0D" w14:textId="77777777" w:rsidR="00CD227B" w:rsidRPr="00CD227B" w:rsidRDefault="00CD227B" w:rsidP="00CD227B">
      <w:pPr>
        <w:numPr>
          <w:ilvl w:val="0"/>
          <w:numId w:val="1"/>
        </w:numPr>
        <w:rPr>
          <w:rFonts w:ascii="Helvetica" w:eastAsia="Times New Roman" w:hAnsi="Helvetica" w:cs="Helvetica"/>
          <w:color w:val="333333"/>
          <w:kern w:val="0"/>
          <w:sz w:val="27"/>
          <w:szCs w:val="27"/>
          <w:lang w:val="en-US"/>
          <w14:ligatures w14:val="none"/>
        </w:rPr>
      </w:pPr>
      <w:r w:rsidRPr="00CD227B">
        <w:rPr>
          <w:rFonts w:ascii="Helvetica" w:eastAsia="Times New Roman" w:hAnsi="Helvetica" w:cs="Helvetica"/>
          <w:color w:val="333333"/>
          <w:kern w:val="0"/>
          <w:sz w:val="27"/>
          <w:szCs w:val="27"/>
          <w:lang w:val="en-US"/>
          <w14:ligatures w14:val="none"/>
        </w:rPr>
        <w:t>Funeral grant: ISK 700,000</w:t>
      </w:r>
    </w:p>
    <w:p w14:paraId="11C80629" w14:textId="317163D1" w:rsidR="00CD227B" w:rsidRPr="00CD227B" w:rsidRDefault="00CD227B" w:rsidP="00CD227B">
      <w:pPr>
        <w:rPr>
          <w:rFonts w:ascii="Helvetica" w:eastAsia="Times New Roman" w:hAnsi="Helvetica" w:cs="Helvetica"/>
          <w:color w:val="333333"/>
          <w:kern w:val="0"/>
          <w:sz w:val="27"/>
          <w:szCs w:val="27"/>
          <w:lang w:val="en-US"/>
          <w14:ligatures w14:val="none"/>
        </w:rPr>
      </w:pPr>
    </w:p>
    <w:p w14:paraId="41A0FD9B" w14:textId="0C08F873" w:rsidR="00CD227B" w:rsidRPr="00CD227B" w:rsidRDefault="00CD227B" w:rsidP="00CD227B">
      <w:pPr>
        <w:rPr>
          <w:b/>
          <w:bCs/>
        </w:rPr>
      </w:pPr>
      <w:r w:rsidRPr="00CD227B">
        <w:rPr>
          <w:rFonts w:ascii="Helvetica" w:eastAsia="Times New Roman" w:hAnsi="Helvetica" w:cs="Helvetica"/>
          <w:b/>
          <w:bCs/>
          <w:color w:val="333333"/>
          <w:kern w:val="0"/>
          <w:sz w:val="27"/>
          <w:szCs w:val="27"/>
          <w:lang w:val="en-US"/>
          <w14:ligatures w14:val="none"/>
        </w:rPr>
        <w:t xml:space="preserve">Board of the Umhyggja Support Fund </w:t>
      </w:r>
    </w:p>
    <w:p w14:paraId="440C9B0D" w14:textId="77777777" w:rsidR="003A3971" w:rsidRDefault="003A3971"/>
    <w:sectPr w:rsidR="003A3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447C2"/>
    <w:multiLevelType w:val="multilevel"/>
    <w:tmpl w:val="409AB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4070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27B"/>
    <w:rsid w:val="003A3971"/>
    <w:rsid w:val="00745D2E"/>
    <w:rsid w:val="00CD227B"/>
    <w:rsid w:val="00F5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59C1B"/>
  <w15:chartTrackingRefBased/>
  <w15:docId w15:val="{BF97FBE4-A6A0-43D5-B1C6-EE7A22CC4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s-I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22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22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22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22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22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22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22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22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22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22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22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22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22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22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22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22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22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22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22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22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22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22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22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22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22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22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22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22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22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Árný Ingvarsdóttir</dc:creator>
  <cp:keywords/>
  <dc:description/>
  <cp:lastModifiedBy>Árný Ingvarsdóttir</cp:lastModifiedBy>
  <cp:revision>2</cp:revision>
  <dcterms:created xsi:type="dcterms:W3CDTF">2025-10-15T12:11:00Z</dcterms:created>
  <dcterms:modified xsi:type="dcterms:W3CDTF">2025-10-15T12:11:00Z</dcterms:modified>
</cp:coreProperties>
</file>